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B03D" w14:textId="77777777" w:rsidR="00687671" w:rsidRPr="00531115" w:rsidRDefault="00687671" w:rsidP="00687671">
      <w:pPr>
        <w:rPr>
          <w:b/>
          <w:u w:val="single"/>
        </w:rPr>
      </w:pPr>
      <w:r>
        <w:rPr>
          <w:b/>
          <w:u w:val="single"/>
        </w:rPr>
        <w:t>DOCUMENTACIÓN NECESARIA PARA ACREDITAR VULNERABILIDADE</w:t>
      </w:r>
    </w:p>
    <w:p w14:paraId="7F1EF0C5" w14:textId="77777777" w:rsidR="00531115" w:rsidRDefault="00531115" w:rsidP="00687671">
      <w:pPr>
        <w:rPr>
          <w:u w:val="single"/>
        </w:rPr>
      </w:pPr>
    </w:p>
    <w:p w14:paraId="6107A2E3" w14:textId="77777777" w:rsidR="00531115" w:rsidRDefault="00531115" w:rsidP="004710EA">
      <w:pPr>
        <w:jc w:val="both"/>
      </w:pPr>
      <w:r>
        <w:t xml:space="preserve">D.____________________, con DNI________   con domicilio en _________________ e número de contrato _____________, declara que cumpre os requisitos establecidos no RDL 37/2020 de vulnerabilidade social e económica, achegando a seguinte documentación: </w:t>
      </w:r>
    </w:p>
    <w:p w14:paraId="7D00B8E6" w14:textId="77777777" w:rsidR="00531115" w:rsidRPr="00531115" w:rsidRDefault="00531115" w:rsidP="00687671"/>
    <w:p w14:paraId="1FC258FA" w14:textId="77777777" w:rsidR="00687671" w:rsidRPr="00687671" w:rsidRDefault="00687671" w:rsidP="00687671">
      <w:pPr>
        <w:ind w:left="708"/>
        <w:rPr>
          <w:b/>
          <w:bCs/>
        </w:rPr>
      </w:pPr>
    </w:p>
    <w:p w14:paraId="7DDC2763" w14:textId="77777777" w:rsidR="00687671" w:rsidRDefault="006B735C" w:rsidP="00687671">
      <w:pPr>
        <w:pStyle w:val="Prrafodelista"/>
        <w:numPr>
          <w:ilvl w:val="0"/>
          <w:numId w:val="1"/>
        </w:numPr>
        <w:rPr>
          <w:b/>
          <w:bCs/>
        </w:rPr>
      </w:pPr>
      <w:r>
        <w:rPr>
          <w:b/>
          <w:bCs/>
        </w:rPr>
        <w:t>Última factura da luz como beneficiario do Bono Social.</w:t>
      </w:r>
    </w:p>
    <w:p w14:paraId="01E0067E" w14:textId="77777777" w:rsidR="00FC7BA4" w:rsidRDefault="00FC7BA4" w:rsidP="00FC7BA4">
      <w:pPr>
        <w:pStyle w:val="Prrafodelista"/>
        <w:rPr>
          <w:b/>
          <w:bCs/>
        </w:rPr>
      </w:pPr>
    </w:p>
    <w:p w14:paraId="0A65B744" w14:textId="77777777" w:rsidR="00FC7BA4" w:rsidRDefault="00FC7BA4" w:rsidP="00FC7BA4">
      <w:r>
        <w:t>No caso de non poder acreditar a titularidade da subministración:</w:t>
      </w:r>
    </w:p>
    <w:p w14:paraId="7B34549D" w14:textId="77777777" w:rsidR="006B735C" w:rsidRPr="006B735C" w:rsidRDefault="006B735C" w:rsidP="006B735C">
      <w:pPr>
        <w:pStyle w:val="Prrafodelista"/>
        <w:rPr>
          <w:b/>
          <w:bCs/>
        </w:rPr>
      </w:pPr>
    </w:p>
    <w:p w14:paraId="219F029D" w14:textId="77777777" w:rsidR="006B735C" w:rsidRDefault="006B735C" w:rsidP="00CA121F">
      <w:pPr>
        <w:pStyle w:val="Prrafodelista"/>
        <w:numPr>
          <w:ilvl w:val="0"/>
          <w:numId w:val="1"/>
        </w:numPr>
        <w:jc w:val="both"/>
      </w:pPr>
      <w:r>
        <w:rPr>
          <w:b/>
          <w:bCs/>
        </w:rPr>
        <w:t>Fotocopia do NIF ou NIE</w:t>
      </w:r>
      <w:r>
        <w:t>, así como de todos os membros da unidade de convivencia formada por persoas con vínculos de parentesco ou análogos e, no seu caso, das persoas sen vínculos de parentesco ou análogos entre si que se atopen na vivenda.</w:t>
      </w:r>
    </w:p>
    <w:p w14:paraId="6C3407D7" w14:textId="77777777" w:rsidR="00FC7BA4" w:rsidRPr="00687671" w:rsidRDefault="00FC7BA4" w:rsidP="00FC7BA4"/>
    <w:p w14:paraId="231DB5E6" w14:textId="77777777" w:rsidR="00687671" w:rsidRDefault="00687671" w:rsidP="00687671">
      <w:pPr>
        <w:pStyle w:val="Prrafodelista"/>
        <w:numPr>
          <w:ilvl w:val="0"/>
          <w:numId w:val="1"/>
        </w:numPr>
        <w:rPr>
          <w:b/>
          <w:bCs/>
        </w:rPr>
      </w:pPr>
      <w:r>
        <w:rPr>
          <w:b/>
          <w:bCs/>
        </w:rPr>
        <w:t xml:space="preserve">Acreditación organismo: </w:t>
      </w:r>
      <w:r>
        <w:t>Entrega de forma conxunta:</w:t>
      </w:r>
    </w:p>
    <w:p w14:paraId="45D7F685" w14:textId="77777777" w:rsidR="00687671" w:rsidRDefault="00687671" w:rsidP="001945AA">
      <w:pPr>
        <w:pStyle w:val="Prrafodelista"/>
        <w:numPr>
          <w:ilvl w:val="1"/>
          <w:numId w:val="1"/>
        </w:numPr>
      </w:pPr>
      <w:r>
        <w:rPr>
          <w:b/>
          <w:bCs/>
        </w:rPr>
        <w:t>Certificado dos Servizos Sociais</w:t>
      </w:r>
      <w:r>
        <w:t xml:space="preserve"> ou do órgano competente ou do que designe a comunidade autónoma, que acredite clasificación de vulnerabilidade.</w:t>
      </w:r>
    </w:p>
    <w:p w14:paraId="09192E7A" w14:textId="77777777" w:rsidR="00687671" w:rsidRDefault="00687671" w:rsidP="00687671">
      <w:pPr>
        <w:pStyle w:val="Prrafodelista"/>
        <w:numPr>
          <w:ilvl w:val="1"/>
          <w:numId w:val="1"/>
        </w:numPr>
      </w:pPr>
      <w:r>
        <w:rPr>
          <w:b/>
          <w:bCs/>
        </w:rPr>
        <w:t xml:space="preserve">Certificado de empadroamento en vigor. </w:t>
      </w:r>
    </w:p>
    <w:p w14:paraId="2618AFDA" w14:textId="77777777" w:rsidR="00687671" w:rsidRDefault="00687671" w:rsidP="00687671">
      <w:pPr>
        <w:pStyle w:val="Prrafodelista"/>
        <w:ind w:left="1440"/>
      </w:pPr>
      <w:r>
        <w:t>O consumidor do punto de subministración e todos os membros da unidade familiar ás que fai referencia o certificado acreditarán estar empadroados mediante DNI ou Certificado empadroamento.</w:t>
      </w:r>
    </w:p>
    <w:tbl>
      <w:tblPr>
        <w:tblStyle w:val="Tablaconcuadrcula"/>
        <w:tblpPr w:leftFromText="141" w:rightFromText="141" w:vertAnchor="page" w:horzAnchor="margin" w:tblpY="7717"/>
        <w:tblW w:w="5000" w:type="pct"/>
        <w:tblLook w:val="04A0" w:firstRow="1" w:lastRow="0" w:firstColumn="1" w:lastColumn="0" w:noHBand="0" w:noVBand="1"/>
      </w:tblPr>
      <w:tblGrid>
        <w:gridCol w:w="1695"/>
        <w:gridCol w:w="2268"/>
        <w:gridCol w:w="4531"/>
      </w:tblGrid>
      <w:tr w:rsidR="00D864D4" w:rsidRPr="0036293D" w14:paraId="6A8900E3" w14:textId="77777777" w:rsidTr="00FC7BA4">
        <w:tc>
          <w:tcPr>
            <w:tcW w:w="5000" w:type="pct"/>
            <w:gridSpan w:val="3"/>
            <w:vAlign w:val="center"/>
          </w:tcPr>
          <w:p w14:paraId="1C1EF425" w14:textId="77777777" w:rsidR="00D864D4" w:rsidRPr="0036293D" w:rsidRDefault="00D864D4" w:rsidP="00FC7BA4">
            <w:pPr>
              <w:jc w:val="center"/>
              <w:rPr>
                <w:b/>
                <w:sz w:val="14"/>
                <w:szCs w:val="14"/>
                <w:lang w:val="es-ES_tradnl"/>
              </w:rPr>
            </w:pPr>
            <w:r>
              <w:rPr>
                <w:b/>
                <w:sz w:val="14"/>
                <w:szCs w:val="14"/>
              </w:rPr>
              <w:t>Información respecto á Protección de Datos Persoais</w:t>
            </w:r>
          </w:p>
        </w:tc>
      </w:tr>
      <w:tr w:rsidR="00D864D4" w:rsidRPr="0036293D" w14:paraId="0F0F934D" w14:textId="77777777" w:rsidTr="00FC7BA4">
        <w:trPr>
          <w:trHeight w:val="629"/>
        </w:trPr>
        <w:tc>
          <w:tcPr>
            <w:tcW w:w="998" w:type="pct"/>
          </w:tcPr>
          <w:p w14:paraId="24F3EF51" w14:textId="77777777" w:rsidR="00D864D4" w:rsidRPr="0036293D" w:rsidRDefault="00D864D4" w:rsidP="00FC7BA4">
            <w:pPr>
              <w:jc w:val="both"/>
              <w:rPr>
                <w:b/>
                <w:sz w:val="14"/>
                <w:szCs w:val="14"/>
                <w:lang w:val="es-ES_tradnl"/>
              </w:rPr>
            </w:pPr>
            <w:r>
              <w:rPr>
                <w:b/>
                <w:sz w:val="14"/>
                <w:szCs w:val="14"/>
              </w:rPr>
              <w:t>Responsable</w:t>
            </w:r>
          </w:p>
        </w:tc>
        <w:tc>
          <w:tcPr>
            <w:tcW w:w="4002" w:type="pct"/>
            <w:gridSpan w:val="2"/>
          </w:tcPr>
          <w:p w14:paraId="3D30AAA7" w14:textId="77777777" w:rsidR="00D864D4" w:rsidRPr="0036293D" w:rsidRDefault="00D864D4" w:rsidP="00FC7BA4">
            <w:pPr>
              <w:jc w:val="both"/>
              <w:rPr>
                <w:sz w:val="14"/>
                <w:szCs w:val="14"/>
                <w:lang w:val="es-ES_tradnl"/>
              </w:rPr>
            </w:pPr>
            <w:r>
              <w:rPr>
                <w:sz w:val="14"/>
                <w:szCs w:val="14"/>
              </w:rPr>
              <w:t>O</w:t>
            </w:r>
            <w:r>
              <w:rPr>
                <w:b/>
                <w:sz w:val="14"/>
                <w:szCs w:val="14"/>
              </w:rPr>
              <w:t xml:space="preserve"> </w:t>
            </w:r>
            <w:r>
              <w:rPr>
                <w:sz w:val="14"/>
                <w:szCs w:val="14"/>
              </w:rPr>
              <w:t xml:space="preserve">responsable do tratamento é a entidade concesionaria do servizo, cuxo enderezo postal, a efectos de protección de datos persoais, se atopa en Av. Camino de Santiago 40, 28050 Madrid. Así mesmo, poderá poñerse en contacto co Responsable de Protección de Datos, que é a persoa encargada do cumprimento desta normativa, no seguinte enderezo: </w:t>
            </w:r>
            <w:hyperlink r:id="rId5" w:history="1">
              <w:r>
                <w:rPr>
                  <w:rStyle w:val="Hipervnculo"/>
                  <w:sz w:val="14"/>
                  <w:szCs w:val="14"/>
                </w:rPr>
                <w:t>protecciondatos@aqualia.es</w:t>
              </w:r>
            </w:hyperlink>
          </w:p>
        </w:tc>
      </w:tr>
      <w:tr w:rsidR="00D864D4" w:rsidRPr="0036293D" w14:paraId="44135EFA" w14:textId="77777777" w:rsidTr="00FC7BA4">
        <w:trPr>
          <w:trHeight w:val="390"/>
        </w:trPr>
        <w:tc>
          <w:tcPr>
            <w:tcW w:w="998" w:type="pct"/>
          </w:tcPr>
          <w:p w14:paraId="6392A126" w14:textId="77777777" w:rsidR="00D864D4" w:rsidRPr="0036293D" w:rsidRDefault="00D864D4" w:rsidP="00FC7BA4">
            <w:pPr>
              <w:jc w:val="both"/>
              <w:rPr>
                <w:b/>
                <w:sz w:val="14"/>
                <w:szCs w:val="14"/>
                <w:lang w:val="es-ES_tradnl"/>
              </w:rPr>
            </w:pPr>
            <w:r>
              <w:rPr>
                <w:b/>
                <w:sz w:val="14"/>
                <w:szCs w:val="14"/>
              </w:rPr>
              <w:t>Finalidade</w:t>
            </w:r>
          </w:p>
        </w:tc>
        <w:tc>
          <w:tcPr>
            <w:tcW w:w="4002" w:type="pct"/>
            <w:gridSpan w:val="2"/>
          </w:tcPr>
          <w:p w14:paraId="0B3D2725" w14:textId="77777777" w:rsidR="00D864D4" w:rsidRPr="0036293D" w:rsidRDefault="00D864D4" w:rsidP="00FC7BA4">
            <w:pPr>
              <w:jc w:val="both"/>
              <w:rPr>
                <w:sz w:val="14"/>
                <w:szCs w:val="14"/>
                <w:lang w:val="es-ES_tradnl"/>
              </w:rPr>
            </w:pPr>
            <w:r>
              <w:rPr>
                <w:sz w:val="14"/>
                <w:szCs w:val="14"/>
              </w:rPr>
              <w:t>Tramitar a súa solicitude de non suspensión da subministración de auga, solicitarlle a documentación requirida, completar ou corrixir a achegada, comprobar a veracidade desta e remitirlle a contestación que proceda.</w:t>
            </w:r>
          </w:p>
        </w:tc>
      </w:tr>
      <w:tr w:rsidR="00D864D4" w:rsidRPr="0036293D" w14:paraId="76F080AD" w14:textId="77777777" w:rsidTr="00FC7BA4">
        <w:trPr>
          <w:trHeight w:val="153"/>
        </w:trPr>
        <w:tc>
          <w:tcPr>
            <w:tcW w:w="998" w:type="pct"/>
            <w:vMerge w:val="restart"/>
          </w:tcPr>
          <w:p w14:paraId="362F80ED" w14:textId="77777777" w:rsidR="00D864D4" w:rsidRPr="0036293D" w:rsidRDefault="00D864D4" w:rsidP="00FC7BA4">
            <w:pPr>
              <w:jc w:val="both"/>
              <w:rPr>
                <w:b/>
                <w:sz w:val="14"/>
                <w:szCs w:val="14"/>
                <w:lang w:val="es-ES_tradnl"/>
              </w:rPr>
            </w:pPr>
            <w:r>
              <w:rPr>
                <w:b/>
                <w:sz w:val="14"/>
                <w:szCs w:val="14"/>
              </w:rPr>
              <w:t>Lexitimación</w:t>
            </w:r>
          </w:p>
        </w:tc>
        <w:tc>
          <w:tcPr>
            <w:tcW w:w="1335" w:type="pct"/>
            <w:vMerge w:val="restart"/>
          </w:tcPr>
          <w:p w14:paraId="5771D159" w14:textId="77777777" w:rsidR="00D864D4" w:rsidRPr="0036293D" w:rsidRDefault="00D864D4" w:rsidP="00FC7BA4">
            <w:pPr>
              <w:jc w:val="both"/>
              <w:rPr>
                <w:sz w:val="14"/>
                <w:szCs w:val="14"/>
              </w:rPr>
            </w:pPr>
            <w:r>
              <w:rPr>
                <w:sz w:val="14"/>
                <w:szCs w:val="14"/>
              </w:rPr>
              <w:t xml:space="preserve">Cando a finalidade </w:t>
            </w:r>
            <w:r>
              <w:rPr>
                <w:b/>
                <w:sz w:val="14"/>
                <w:szCs w:val="14"/>
              </w:rPr>
              <w:t>non requira</w:t>
            </w:r>
            <w:r>
              <w:rPr>
                <w:sz w:val="14"/>
                <w:szCs w:val="14"/>
              </w:rPr>
              <w:t xml:space="preserve"> a entrega de información con datos persoais especiais e, polo tanto, o seu tratamento, a lexitimación estará baseada en:</w:t>
            </w:r>
          </w:p>
        </w:tc>
        <w:tc>
          <w:tcPr>
            <w:tcW w:w="2667" w:type="pct"/>
          </w:tcPr>
          <w:p w14:paraId="44792796" w14:textId="77777777" w:rsidR="00D864D4" w:rsidRPr="0036293D" w:rsidRDefault="00D864D4" w:rsidP="00FC7BA4">
            <w:pPr>
              <w:jc w:val="both"/>
              <w:rPr>
                <w:sz w:val="14"/>
                <w:szCs w:val="14"/>
              </w:rPr>
            </w:pPr>
            <w:r>
              <w:rPr>
                <w:sz w:val="14"/>
                <w:szCs w:val="14"/>
              </w:rPr>
              <w:t>RXPD: 6.1 a) Finalidade baseada no consentimento.</w:t>
            </w:r>
          </w:p>
        </w:tc>
      </w:tr>
      <w:tr w:rsidR="00D864D4" w:rsidRPr="0036293D" w14:paraId="02569ABD" w14:textId="77777777" w:rsidTr="00FC7BA4">
        <w:trPr>
          <w:trHeight w:val="153"/>
        </w:trPr>
        <w:tc>
          <w:tcPr>
            <w:tcW w:w="998" w:type="pct"/>
            <w:vMerge/>
          </w:tcPr>
          <w:p w14:paraId="03856F3A" w14:textId="77777777" w:rsidR="00D864D4" w:rsidRPr="0036293D" w:rsidRDefault="00D864D4" w:rsidP="00FC7BA4">
            <w:pPr>
              <w:jc w:val="both"/>
              <w:rPr>
                <w:b/>
                <w:sz w:val="14"/>
                <w:szCs w:val="14"/>
                <w:lang w:val="es-ES_tradnl"/>
              </w:rPr>
            </w:pPr>
          </w:p>
        </w:tc>
        <w:tc>
          <w:tcPr>
            <w:tcW w:w="1335" w:type="pct"/>
            <w:vMerge/>
          </w:tcPr>
          <w:p w14:paraId="3108B9A5" w14:textId="77777777" w:rsidR="00D864D4" w:rsidRDefault="00D864D4" w:rsidP="00FC7BA4">
            <w:pPr>
              <w:jc w:val="both"/>
              <w:rPr>
                <w:sz w:val="14"/>
                <w:szCs w:val="14"/>
              </w:rPr>
            </w:pPr>
          </w:p>
        </w:tc>
        <w:tc>
          <w:tcPr>
            <w:tcW w:w="2667" w:type="pct"/>
          </w:tcPr>
          <w:p w14:paraId="36C6C3E9" w14:textId="77777777" w:rsidR="00D864D4" w:rsidRPr="0036293D" w:rsidRDefault="00D864D4" w:rsidP="00FC7BA4">
            <w:pPr>
              <w:jc w:val="both"/>
              <w:rPr>
                <w:sz w:val="14"/>
                <w:szCs w:val="14"/>
              </w:rPr>
            </w:pPr>
            <w:r>
              <w:rPr>
                <w:sz w:val="14"/>
                <w:szCs w:val="14"/>
              </w:rPr>
              <w:t>RXPD: 6.1 c) Finalidade baseada na obriga legal estipulada na</w:t>
            </w:r>
            <w:r>
              <w:rPr>
                <w:rFonts w:asciiTheme="majorHAnsi" w:eastAsiaTheme="minorHAnsi" w:hAnsiTheme="majorHAnsi" w:cstheme="majorHAnsi"/>
                <w:color w:val="000000"/>
                <w:sz w:val="20"/>
                <w:szCs w:val="20"/>
              </w:rPr>
              <w:t xml:space="preserve"> </w:t>
            </w:r>
            <w:r>
              <w:rPr>
                <w:sz w:val="14"/>
                <w:szCs w:val="14"/>
              </w:rPr>
              <w:t xml:space="preserve">Disposición adicional cuarta do </w:t>
            </w:r>
            <w:r>
              <w:rPr>
                <w:i/>
                <w:iCs/>
                <w:sz w:val="14"/>
                <w:szCs w:val="14"/>
              </w:rPr>
              <w:t>Real decreto (lei) 37/2020, do 22 de decembro, de medidas urxentes para facer fronte ás situacións de vulnerabilidade social e económica no ámbito da vivenda e en materia de transportes.</w:t>
            </w:r>
          </w:p>
        </w:tc>
      </w:tr>
      <w:tr w:rsidR="00D864D4" w:rsidRPr="0036293D" w14:paraId="70423189" w14:textId="77777777" w:rsidTr="00FC7BA4">
        <w:trPr>
          <w:trHeight w:val="153"/>
        </w:trPr>
        <w:tc>
          <w:tcPr>
            <w:tcW w:w="998" w:type="pct"/>
            <w:vMerge/>
          </w:tcPr>
          <w:p w14:paraId="4F7AF703" w14:textId="77777777" w:rsidR="00D864D4" w:rsidRPr="0036293D" w:rsidRDefault="00D864D4" w:rsidP="00FC7BA4">
            <w:pPr>
              <w:jc w:val="both"/>
              <w:rPr>
                <w:b/>
                <w:sz w:val="14"/>
                <w:szCs w:val="14"/>
                <w:lang w:val="es-ES_tradnl"/>
              </w:rPr>
            </w:pPr>
          </w:p>
        </w:tc>
        <w:tc>
          <w:tcPr>
            <w:tcW w:w="1335" w:type="pct"/>
            <w:vMerge w:val="restart"/>
          </w:tcPr>
          <w:p w14:paraId="3B630A54" w14:textId="77777777" w:rsidR="00D864D4" w:rsidRDefault="00D864D4" w:rsidP="00FC7BA4">
            <w:pPr>
              <w:jc w:val="both"/>
              <w:rPr>
                <w:sz w:val="14"/>
                <w:szCs w:val="14"/>
              </w:rPr>
            </w:pPr>
            <w:r>
              <w:rPr>
                <w:sz w:val="14"/>
                <w:szCs w:val="14"/>
              </w:rPr>
              <w:t xml:space="preserve">Cando a finalidade </w:t>
            </w:r>
            <w:r>
              <w:rPr>
                <w:b/>
                <w:sz w:val="14"/>
                <w:szCs w:val="14"/>
              </w:rPr>
              <w:t>requira</w:t>
            </w:r>
            <w:r>
              <w:rPr>
                <w:sz w:val="14"/>
                <w:szCs w:val="14"/>
              </w:rPr>
              <w:t xml:space="preserve"> a entrega de información con datos persoais especiais e, polo tanto, o tratamento destes, a lexitimación estará baseada en:</w:t>
            </w:r>
          </w:p>
        </w:tc>
        <w:tc>
          <w:tcPr>
            <w:tcW w:w="2667" w:type="pct"/>
          </w:tcPr>
          <w:p w14:paraId="619019FF" w14:textId="77777777" w:rsidR="00D864D4" w:rsidRPr="0036293D" w:rsidRDefault="00D864D4" w:rsidP="00FC7BA4">
            <w:pPr>
              <w:jc w:val="both"/>
              <w:rPr>
                <w:sz w:val="14"/>
                <w:szCs w:val="14"/>
              </w:rPr>
            </w:pPr>
            <w:r>
              <w:rPr>
                <w:sz w:val="14"/>
                <w:szCs w:val="14"/>
              </w:rPr>
              <w:t>RXPD: 9.2 a) Finalidade baseada no consentimento.</w:t>
            </w:r>
          </w:p>
        </w:tc>
      </w:tr>
      <w:tr w:rsidR="00D864D4" w:rsidRPr="0036293D" w14:paraId="5916D999" w14:textId="77777777" w:rsidTr="00FC7BA4">
        <w:trPr>
          <w:trHeight w:val="153"/>
        </w:trPr>
        <w:tc>
          <w:tcPr>
            <w:tcW w:w="998" w:type="pct"/>
            <w:vMerge/>
          </w:tcPr>
          <w:p w14:paraId="3673562C" w14:textId="77777777" w:rsidR="00D864D4" w:rsidRPr="0036293D" w:rsidRDefault="00D864D4" w:rsidP="00FC7BA4">
            <w:pPr>
              <w:jc w:val="both"/>
              <w:rPr>
                <w:b/>
                <w:sz w:val="14"/>
                <w:szCs w:val="14"/>
                <w:lang w:val="es-ES_tradnl"/>
              </w:rPr>
            </w:pPr>
          </w:p>
        </w:tc>
        <w:tc>
          <w:tcPr>
            <w:tcW w:w="1335" w:type="pct"/>
            <w:vMerge/>
          </w:tcPr>
          <w:p w14:paraId="01BDA424" w14:textId="77777777" w:rsidR="00D864D4" w:rsidRDefault="00D864D4" w:rsidP="00FC7BA4">
            <w:pPr>
              <w:jc w:val="both"/>
              <w:rPr>
                <w:sz w:val="14"/>
                <w:szCs w:val="14"/>
              </w:rPr>
            </w:pPr>
          </w:p>
        </w:tc>
        <w:tc>
          <w:tcPr>
            <w:tcW w:w="2667" w:type="pct"/>
          </w:tcPr>
          <w:p w14:paraId="634E977F" w14:textId="77777777" w:rsidR="00D864D4" w:rsidRPr="0036293D" w:rsidRDefault="00D864D4" w:rsidP="00FC7BA4">
            <w:pPr>
              <w:jc w:val="both"/>
              <w:rPr>
                <w:sz w:val="14"/>
                <w:szCs w:val="14"/>
              </w:rPr>
            </w:pPr>
            <w:r>
              <w:rPr>
                <w:sz w:val="14"/>
                <w:szCs w:val="14"/>
              </w:rPr>
              <w:t>RXPD: 9.2 b) Finalidade baseada no cumprimento dunha obriga legal estipulada na</w:t>
            </w:r>
            <w:r>
              <w:rPr>
                <w:rFonts w:asciiTheme="majorHAnsi" w:eastAsiaTheme="minorHAnsi" w:hAnsiTheme="majorHAnsi" w:cstheme="majorHAnsi"/>
                <w:color w:val="000000"/>
                <w:sz w:val="20"/>
                <w:szCs w:val="20"/>
              </w:rPr>
              <w:t xml:space="preserve"> </w:t>
            </w:r>
            <w:r>
              <w:rPr>
                <w:sz w:val="14"/>
                <w:szCs w:val="14"/>
              </w:rPr>
              <w:t xml:space="preserve">Disposición adicional cuarta do </w:t>
            </w:r>
            <w:r>
              <w:rPr>
                <w:i/>
                <w:iCs/>
                <w:sz w:val="14"/>
                <w:szCs w:val="14"/>
              </w:rPr>
              <w:t>Real decreto (lei) 37/2020, do 22 de decembro, de medidas urxentes para facer fronte ás situacións de vulnerabilidade social e económica no ámbito da vivenda e en materia de transportes</w:t>
            </w:r>
            <w:r>
              <w:rPr>
                <w:sz w:val="14"/>
                <w:szCs w:val="14"/>
              </w:rPr>
              <w:t>.</w:t>
            </w:r>
          </w:p>
        </w:tc>
      </w:tr>
      <w:tr w:rsidR="00D864D4" w:rsidRPr="0036293D" w14:paraId="7BA0E65F" w14:textId="77777777" w:rsidTr="00FC7BA4">
        <w:tc>
          <w:tcPr>
            <w:tcW w:w="998" w:type="pct"/>
          </w:tcPr>
          <w:p w14:paraId="5CA6BA17" w14:textId="77777777" w:rsidR="00D864D4" w:rsidRPr="0036293D" w:rsidRDefault="00D864D4" w:rsidP="00FC7BA4">
            <w:pPr>
              <w:jc w:val="both"/>
              <w:rPr>
                <w:b/>
                <w:sz w:val="14"/>
                <w:szCs w:val="14"/>
                <w:lang w:val="es-ES_tradnl"/>
              </w:rPr>
            </w:pPr>
            <w:r>
              <w:rPr>
                <w:b/>
                <w:sz w:val="14"/>
                <w:szCs w:val="14"/>
              </w:rPr>
              <w:t>Destinatarios dos datos</w:t>
            </w:r>
          </w:p>
        </w:tc>
        <w:tc>
          <w:tcPr>
            <w:tcW w:w="4002" w:type="pct"/>
            <w:gridSpan w:val="2"/>
          </w:tcPr>
          <w:p w14:paraId="033DF9B2" w14:textId="77777777" w:rsidR="00D864D4" w:rsidRPr="0036293D" w:rsidRDefault="00D864D4" w:rsidP="00FC7BA4">
            <w:pPr>
              <w:jc w:val="both"/>
              <w:rPr>
                <w:i/>
                <w:sz w:val="14"/>
                <w:szCs w:val="14"/>
              </w:rPr>
            </w:pPr>
            <w:r>
              <w:rPr>
                <w:sz w:val="14"/>
                <w:szCs w:val="14"/>
              </w:rPr>
              <w:t xml:space="preserve">Os seus datos non son cedidos a ningún terceiro, </w:t>
            </w:r>
            <w:r>
              <w:rPr>
                <w:rFonts w:eastAsiaTheme="minorHAnsi"/>
                <w:sz w:val="20"/>
                <w:szCs w:val="20"/>
              </w:rPr>
              <w:t xml:space="preserve"> </w:t>
            </w:r>
            <w:r>
              <w:rPr>
                <w:sz w:val="14"/>
                <w:szCs w:val="14"/>
              </w:rPr>
              <w:t>agás obriga legal e para verificar que a documentación que achega é veraz.</w:t>
            </w:r>
          </w:p>
        </w:tc>
      </w:tr>
      <w:tr w:rsidR="00D864D4" w:rsidRPr="0036293D" w14:paraId="3D86EC1C" w14:textId="77777777" w:rsidTr="00FC7BA4">
        <w:tc>
          <w:tcPr>
            <w:tcW w:w="998" w:type="pct"/>
          </w:tcPr>
          <w:p w14:paraId="66B2BA01" w14:textId="77777777" w:rsidR="00D864D4" w:rsidRPr="0036293D" w:rsidRDefault="00D864D4" w:rsidP="00FC7BA4">
            <w:pPr>
              <w:jc w:val="both"/>
              <w:rPr>
                <w:b/>
                <w:sz w:val="14"/>
                <w:szCs w:val="14"/>
                <w:lang w:val="es-ES_tradnl"/>
              </w:rPr>
            </w:pPr>
            <w:r>
              <w:rPr>
                <w:b/>
                <w:sz w:val="14"/>
                <w:szCs w:val="14"/>
              </w:rPr>
              <w:t>Prazo conservación</w:t>
            </w:r>
          </w:p>
        </w:tc>
        <w:tc>
          <w:tcPr>
            <w:tcW w:w="4002" w:type="pct"/>
            <w:gridSpan w:val="2"/>
          </w:tcPr>
          <w:p w14:paraId="7196B411" w14:textId="77777777" w:rsidR="00D864D4" w:rsidRPr="0036293D" w:rsidRDefault="00D864D4" w:rsidP="00FC7BA4">
            <w:pPr>
              <w:jc w:val="both"/>
              <w:rPr>
                <w:sz w:val="14"/>
                <w:szCs w:val="14"/>
              </w:rPr>
            </w:pPr>
            <w:r>
              <w:rPr>
                <w:sz w:val="14"/>
                <w:szCs w:val="14"/>
              </w:rPr>
              <w:t xml:space="preserve">Os seus datos persoais conservaranse mentres dure a relación contractual, a non ser que vostede solicite a súa supresión. Posteriormente, os seus datos persoais serán bloqueados durante os prazos de prescrición legal que se aplican. Unha vez transcorridos estes prazos de prescrición, os seus datos persoais serán suprimidos. </w:t>
            </w:r>
          </w:p>
        </w:tc>
      </w:tr>
      <w:tr w:rsidR="00D864D4" w:rsidRPr="0036293D" w14:paraId="07A40115" w14:textId="77777777" w:rsidTr="00FC7BA4">
        <w:tc>
          <w:tcPr>
            <w:tcW w:w="998" w:type="pct"/>
          </w:tcPr>
          <w:p w14:paraId="7C1CB26E" w14:textId="77777777" w:rsidR="00D864D4" w:rsidRPr="0036293D" w:rsidRDefault="00D864D4" w:rsidP="00FC7BA4">
            <w:pPr>
              <w:rPr>
                <w:b/>
                <w:sz w:val="14"/>
                <w:szCs w:val="14"/>
                <w:lang w:val="es-ES_tradnl"/>
              </w:rPr>
            </w:pPr>
            <w:r>
              <w:rPr>
                <w:b/>
                <w:sz w:val="14"/>
                <w:szCs w:val="14"/>
              </w:rPr>
              <w:t>Dereitos dos interesados</w:t>
            </w:r>
          </w:p>
        </w:tc>
        <w:tc>
          <w:tcPr>
            <w:tcW w:w="4002" w:type="pct"/>
            <w:gridSpan w:val="2"/>
          </w:tcPr>
          <w:p w14:paraId="73F61201" w14:textId="77777777" w:rsidR="00D864D4" w:rsidRPr="0036293D" w:rsidRDefault="00D864D4" w:rsidP="00FC7BA4">
            <w:pPr>
              <w:jc w:val="both"/>
              <w:rPr>
                <w:sz w:val="14"/>
                <w:szCs w:val="14"/>
                <w:lang w:val="es-ES_tradnl"/>
              </w:rPr>
            </w:pPr>
            <w:r>
              <w:rPr>
                <w:sz w:val="14"/>
                <w:szCs w:val="14"/>
              </w:rPr>
              <w:t xml:space="preserve">Pode exercitar os seus dereitos de acceso, rectificación, portabilidade, supresión e a limitación ou oposición ao tratamento dirixíndose por escrito identificado coa referencia «Protección de Datos» con fotocopia do DNI do interesado a: Dpto. de Gestión de Clientes y Protección de Datos, Avenida del Camino de Santiago 40, 28050 Madrid, ou mediante correo electrónico nos mesmos termos especificados a </w:t>
            </w:r>
            <w:hyperlink r:id="rId6" w:history="1">
              <w:r>
                <w:rPr>
                  <w:rStyle w:val="Hipervnculo"/>
                  <w:sz w:val="14"/>
                  <w:szCs w:val="14"/>
                </w:rPr>
                <w:t>protecciondatos@aqualia.es</w:t>
              </w:r>
            </w:hyperlink>
          </w:p>
          <w:p w14:paraId="421DADDE" w14:textId="77777777" w:rsidR="00D864D4" w:rsidRPr="0036293D" w:rsidRDefault="00D864D4" w:rsidP="00FC7BA4">
            <w:pPr>
              <w:jc w:val="both"/>
              <w:rPr>
                <w:sz w:val="14"/>
                <w:szCs w:val="14"/>
                <w:lang w:val="es-ES_tradnl"/>
              </w:rPr>
            </w:pPr>
            <w:r>
              <w:rPr>
                <w:sz w:val="14"/>
                <w:szCs w:val="14"/>
              </w:rPr>
              <w:t>Así mesmo, ten dereito a reclamar perante a Autoridade de Control.</w:t>
            </w:r>
          </w:p>
        </w:tc>
      </w:tr>
      <w:tr w:rsidR="00D864D4" w:rsidRPr="0036293D" w14:paraId="1DC11907" w14:textId="77777777" w:rsidTr="00FC7BA4">
        <w:tc>
          <w:tcPr>
            <w:tcW w:w="5000" w:type="pct"/>
            <w:gridSpan w:val="3"/>
          </w:tcPr>
          <w:p w14:paraId="39CA3787" w14:textId="77777777" w:rsidR="00D864D4" w:rsidRPr="0036293D" w:rsidRDefault="00D864D4" w:rsidP="00FC7BA4">
            <w:pPr>
              <w:jc w:val="both"/>
              <w:rPr>
                <w:sz w:val="14"/>
                <w:szCs w:val="14"/>
              </w:rPr>
            </w:pPr>
            <w:r>
              <w:rPr>
                <w:sz w:val="14"/>
                <w:szCs w:val="14"/>
              </w:rPr>
              <w:t xml:space="preserve">Mediante a sinatura do presente documento vostede outorga o seu consentimento para o tratamento dos seus datos persoais para a finalidade de tramitar a súa solicitude de non suspensión da subministración de auga, solicitarlle a documentación requirida, completar ou corrixir a achegada, comprobar a veracidade desta e remitirlle a contestación que proceda. Ademais, vostede garante que informou e obtivo a autorización das terceiras persoas para realizar a comunicación dos seus datos persoais á entidade concesionaria do servizo de auga, así como da finalidade descrita e do resto de información de protección de datos detallada no presente documento.  </w:t>
            </w:r>
          </w:p>
        </w:tc>
      </w:tr>
    </w:tbl>
    <w:p w14:paraId="13E9D300" w14:textId="77777777" w:rsidR="00687671" w:rsidRDefault="00687671" w:rsidP="00687671"/>
    <w:p w14:paraId="0C5055FC" w14:textId="77777777" w:rsidR="00687671" w:rsidRDefault="00687671" w:rsidP="00687671"/>
    <w:p w14:paraId="00FF53C2" w14:textId="77777777" w:rsidR="00400B91" w:rsidRDefault="00531115">
      <w:r>
        <w:t>En _________, a ____ de ___________ de_______</w:t>
      </w:r>
    </w:p>
    <w:p w14:paraId="5E3CD739" w14:textId="77777777" w:rsidR="00531115" w:rsidRDefault="00531115"/>
    <w:p w14:paraId="5F1983D1" w14:textId="77777777" w:rsidR="00531115" w:rsidRDefault="00531115"/>
    <w:p w14:paraId="70E2D39F" w14:textId="77777777" w:rsidR="00531115" w:rsidRDefault="00531115">
      <w:r>
        <w:t xml:space="preserve">Asinado: </w:t>
      </w:r>
    </w:p>
    <w:sectPr w:rsidR="005311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C1BD5"/>
    <w:multiLevelType w:val="multilevel"/>
    <w:tmpl w:val="DCA89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2122CB"/>
    <w:multiLevelType w:val="hybridMultilevel"/>
    <w:tmpl w:val="0DD4C72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705758865">
    <w:abstractNumId w:val="1"/>
  </w:num>
  <w:num w:numId="2" w16cid:durableId="965088825">
    <w:abstractNumId w:val="1"/>
  </w:num>
  <w:num w:numId="3" w16cid:durableId="912468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71"/>
    <w:rsid w:val="00277C15"/>
    <w:rsid w:val="00400B91"/>
    <w:rsid w:val="004160A7"/>
    <w:rsid w:val="004710EA"/>
    <w:rsid w:val="00531115"/>
    <w:rsid w:val="00687671"/>
    <w:rsid w:val="006B735C"/>
    <w:rsid w:val="00CA121F"/>
    <w:rsid w:val="00D864D4"/>
    <w:rsid w:val="00E2580A"/>
    <w:rsid w:val="00E90DCF"/>
    <w:rsid w:val="00FC7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3E3C"/>
  <w15:chartTrackingRefBased/>
  <w15:docId w15:val="{2A52D188-5C1F-45AD-844A-388A99B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l" w:eastAsia="gl" w:bidi="g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71"/>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7671"/>
    <w:pPr>
      <w:ind w:left="720"/>
    </w:pPr>
  </w:style>
  <w:style w:type="character" w:styleId="Hipervnculo">
    <w:name w:val="Hyperlink"/>
    <w:basedOn w:val="Fuentedeprrafopredeter"/>
    <w:uiPriority w:val="99"/>
    <w:unhideWhenUsed/>
    <w:rsid w:val="00687671"/>
    <w:rPr>
      <w:color w:val="0000FF"/>
      <w:u w:val="single"/>
    </w:rPr>
  </w:style>
  <w:style w:type="table" w:styleId="Tablaconcuadrcula">
    <w:name w:val="Table Grid"/>
    <w:basedOn w:val="Tablanormal"/>
    <w:uiPriority w:val="59"/>
    <w:rsid w:val="0068767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19421">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ecciondatos@aqualia.es" TargetMode="External"/><Relationship Id="rId5" Type="http://schemas.openxmlformats.org/officeDocument/2006/relationships/hyperlink" Target="mailto:protecciondatos@aquali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729</Words>
  <Characters>4011</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FCC</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Crespo, Maria Carmen</dc:creator>
  <cp:keywords/>
  <dc:description/>
  <cp:lastModifiedBy>Noemi Serrate Calvete</cp:lastModifiedBy>
  <cp:revision>2</cp:revision>
  <dcterms:created xsi:type="dcterms:W3CDTF">2022-12-13T11:48:00Z</dcterms:created>
  <dcterms:modified xsi:type="dcterms:W3CDTF">2022-12-13T11:48:00Z</dcterms:modified>
</cp:coreProperties>
</file>